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43" w:rsidRPr="00010D43" w:rsidRDefault="00010D43" w:rsidP="00010D43">
      <w:pPr>
        <w:widowControl w:val="0"/>
        <w:autoSpaceDE w:val="0"/>
        <w:autoSpaceDN w:val="0"/>
        <w:adjustRightInd w:val="0"/>
        <w:rPr>
          <w:rFonts w:ascii="Century Gothic" w:hAnsi="Century Gothic" w:cs="Times New Roman"/>
          <w:noProof/>
          <w:lang w:val="en-US"/>
        </w:rPr>
      </w:pPr>
    </w:p>
    <w:p w:rsidR="00010D43" w:rsidRPr="00010D43" w:rsidRDefault="00010D43" w:rsidP="00010D43">
      <w:pPr>
        <w:widowControl w:val="0"/>
        <w:autoSpaceDE w:val="0"/>
        <w:autoSpaceDN w:val="0"/>
        <w:adjustRightInd w:val="0"/>
        <w:rPr>
          <w:rFonts w:ascii="Century Gothic" w:hAnsi="Century Gothic" w:cs="Times New Roman"/>
          <w:noProof/>
          <w:lang w:val="en-US"/>
        </w:rPr>
      </w:pPr>
    </w:p>
    <w:p w:rsidR="00010D43" w:rsidRPr="00010D43" w:rsidRDefault="00010D43" w:rsidP="00010D43">
      <w:pPr>
        <w:widowControl w:val="0"/>
        <w:autoSpaceDE w:val="0"/>
        <w:autoSpaceDN w:val="0"/>
        <w:adjustRightInd w:val="0"/>
        <w:rPr>
          <w:rFonts w:ascii="Century Gothic" w:hAnsi="Century Gothic" w:cs="Times New Roman"/>
          <w:noProof/>
          <w:lang w:val="en-US"/>
        </w:rPr>
      </w:pPr>
    </w:p>
    <w:p w:rsidR="00010D43" w:rsidRDefault="00010D43" w:rsidP="00010D43">
      <w:pPr>
        <w:widowControl w:val="0"/>
        <w:autoSpaceDE w:val="0"/>
        <w:autoSpaceDN w:val="0"/>
        <w:adjustRightInd w:val="0"/>
        <w:rPr>
          <w:rFonts w:ascii="Century Gothic" w:hAnsi="Century Gothic" w:cs="Times New Roman"/>
          <w:color w:val="E36C0A" w:themeColor="accent6" w:themeShade="BF"/>
          <w:sz w:val="32"/>
          <w:lang w:val="en-US"/>
        </w:rPr>
      </w:pPr>
    </w:p>
    <w:p w:rsidR="00010D43" w:rsidRPr="00010D43" w:rsidRDefault="00010D43" w:rsidP="00010D43">
      <w:pPr>
        <w:widowControl w:val="0"/>
        <w:autoSpaceDE w:val="0"/>
        <w:autoSpaceDN w:val="0"/>
        <w:adjustRightInd w:val="0"/>
        <w:rPr>
          <w:rFonts w:ascii="Century Gothic" w:hAnsi="Century Gothic" w:cs="Times New Roman"/>
          <w:color w:val="E36C0A" w:themeColor="accent6" w:themeShade="BF"/>
          <w:sz w:val="32"/>
          <w:lang w:val="en-US"/>
        </w:rPr>
      </w:pPr>
      <w:r w:rsidRPr="00010D43">
        <w:rPr>
          <w:rFonts w:ascii="Century Gothic" w:hAnsi="Century Gothic" w:cs="Times New Roman"/>
          <w:color w:val="E36C0A" w:themeColor="accent6" w:themeShade="BF"/>
          <w:sz w:val="32"/>
          <w:lang w:val="en-US"/>
        </w:rPr>
        <w:fldChar w:fldCharType="begin"/>
      </w:r>
      <w:r w:rsidRPr="00010D43">
        <w:rPr>
          <w:rFonts w:ascii="Century Gothic" w:hAnsi="Century Gothic" w:cs="Times New Roman"/>
          <w:color w:val="E36C0A" w:themeColor="accent6" w:themeShade="BF"/>
          <w:sz w:val="32"/>
          <w:lang w:val="en-US"/>
        </w:rPr>
        <w:instrText>HYPERLINK "http://www.consultingpeople.co.uk/viewpoints/defining-and-changing-culture.html"</w:instrText>
      </w:r>
      <w:r w:rsidRPr="00010D43">
        <w:rPr>
          <w:rFonts w:ascii="Century Gothic" w:hAnsi="Century Gothic" w:cs="Times New Roman"/>
          <w:color w:val="E36C0A" w:themeColor="accent6" w:themeShade="BF"/>
          <w:sz w:val="32"/>
          <w:lang w:val="en-US"/>
        </w:rPr>
      </w:r>
      <w:r w:rsidRPr="00010D43">
        <w:rPr>
          <w:rFonts w:ascii="Century Gothic" w:hAnsi="Century Gothic" w:cs="Times New Roman"/>
          <w:color w:val="E36C0A" w:themeColor="accent6" w:themeShade="BF"/>
          <w:sz w:val="32"/>
          <w:lang w:val="en-US"/>
        </w:rPr>
        <w:fldChar w:fldCharType="separate"/>
      </w:r>
      <w:r w:rsidRPr="00010D43">
        <w:rPr>
          <w:rFonts w:ascii="Century Gothic" w:hAnsi="Century Gothic" w:cs="Trebuchet MS"/>
          <w:b/>
          <w:bCs/>
          <w:shadow/>
          <w:color w:val="E36C0A" w:themeColor="accent6" w:themeShade="BF"/>
          <w:sz w:val="32"/>
          <w:szCs w:val="36"/>
          <w:lang w:val="en-US"/>
        </w:rPr>
        <w:t>Defining and Changing Culture</w:t>
      </w:r>
      <w:r w:rsidRPr="00010D43">
        <w:rPr>
          <w:rFonts w:ascii="Century Gothic" w:hAnsi="Century Gothic" w:cs="Times New Roman"/>
          <w:color w:val="E36C0A" w:themeColor="accent6" w:themeShade="BF"/>
          <w:sz w:val="32"/>
          <w:lang w:val="en-US"/>
        </w:rPr>
        <w:fldChar w:fldCharType="end"/>
      </w:r>
    </w:p>
    <w:p w:rsidR="00010D43" w:rsidRPr="00010D43" w:rsidRDefault="00010D43" w:rsidP="00010D43">
      <w:pPr>
        <w:widowControl w:val="0"/>
        <w:autoSpaceDE w:val="0"/>
        <w:autoSpaceDN w:val="0"/>
        <w:adjustRightInd w:val="0"/>
        <w:rPr>
          <w:rFonts w:ascii="Century Gothic" w:hAnsi="Century Gothic" w:cs="Trebuchet MS"/>
          <w:b/>
          <w:bCs/>
          <w:shadow/>
          <w:color w:val="343434"/>
          <w:sz w:val="36"/>
          <w:szCs w:val="36"/>
          <w:lang w:val="en-US"/>
        </w:rPr>
      </w:pPr>
    </w:p>
    <w:p w:rsidR="00010D43" w:rsidRPr="00010D43" w:rsidRDefault="00010D43" w:rsidP="00010D43">
      <w:pPr>
        <w:widowControl w:val="0"/>
        <w:autoSpaceDE w:val="0"/>
        <w:autoSpaceDN w:val="0"/>
        <w:adjustRightInd w:val="0"/>
        <w:rPr>
          <w:rFonts w:ascii="Century Gothic" w:hAnsi="Century Gothic" w:cs="Trebuchet MS"/>
          <w:color w:val="434343"/>
          <w:lang w:val="en-US"/>
        </w:rPr>
      </w:pPr>
      <w:r w:rsidRPr="00010D43">
        <w:rPr>
          <w:rFonts w:ascii="Century Gothic" w:hAnsi="Century Gothic" w:cs="Trebuchet MS"/>
          <w:color w:val="434343"/>
          <w:lang w:val="en-US"/>
        </w:rPr>
        <w:t>"Any business is a managed cluster of integrated supply chains (or functions), comprised of groups of semi-autonomous and independent agents that interact and relate in unpredictable ways to meet their own needs. This creates system-wide, emergent, patterns of interaction, across supply chains and sectors, that once they have emerged, gel into semi-predictable patterns called the business culture. These patterns, over time, reinforce the existing and future behavior of the agents in the system, oftentimes; constraining change at the very time commercial or competitive pressure requires it. In this way, our business cultures can become part of an organizational sub-conscious, that is self-defeating or limiting when change is needed. Alternatively, since every system contains within it the seeds of its own redemption, our business culture is the very platform we need to change gear, change direction, and accelerate into a new opportunity."</w:t>
      </w:r>
    </w:p>
    <w:p w:rsidR="00010D43" w:rsidRPr="00010D43" w:rsidRDefault="00010D43" w:rsidP="00010D43">
      <w:pPr>
        <w:widowControl w:val="0"/>
        <w:autoSpaceDE w:val="0"/>
        <w:autoSpaceDN w:val="0"/>
        <w:adjustRightInd w:val="0"/>
        <w:rPr>
          <w:rFonts w:ascii="Century Gothic" w:hAnsi="Century Gothic" w:cs="Trebuchet MS"/>
          <w:color w:val="434343"/>
          <w:lang w:val="en-US"/>
        </w:rPr>
      </w:pPr>
    </w:p>
    <w:p w:rsidR="00010D43" w:rsidRPr="00010D43" w:rsidRDefault="00010D43" w:rsidP="00010D43">
      <w:pPr>
        <w:widowControl w:val="0"/>
        <w:autoSpaceDE w:val="0"/>
        <w:autoSpaceDN w:val="0"/>
        <w:adjustRightInd w:val="0"/>
        <w:rPr>
          <w:rFonts w:ascii="Century Gothic" w:hAnsi="Century Gothic" w:cs="Trebuchet MS"/>
          <w:color w:val="434343"/>
          <w:lang w:val="en-US"/>
        </w:rPr>
      </w:pPr>
      <w:r w:rsidRPr="00010D43">
        <w:rPr>
          <w:rFonts w:ascii="Century Gothic" w:hAnsi="Century Gothic" w:cs="Trebuchet MS"/>
          <w:color w:val="434343"/>
          <w:lang w:val="en-US"/>
        </w:rPr>
        <w:t>The ‘Business Transformation Cycle', has been designed specifically, over more than 20 years of practical application, to</w:t>
      </w:r>
      <w:proofErr w:type="gramStart"/>
      <w:r w:rsidRPr="00010D43">
        <w:rPr>
          <w:rFonts w:ascii="Century Gothic" w:hAnsi="Century Gothic" w:cs="Trebuchet MS"/>
          <w:color w:val="434343"/>
          <w:lang w:val="en-US"/>
        </w:rPr>
        <w:t>;</w:t>
      </w:r>
      <w:proofErr w:type="gramEnd"/>
    </w:p>
    <w:p w:rsidR="00010D43" w:rsidRPr="00010D43" w:rsidRDefault="00010D43" w:rsidP="00010D43">
      <w:pPr>
        <w:widowControl w:val="0"/>
        <w:autoSpaceDE w:val="0"/>
        <w:autoSpaceDN w:val="0"/>
        <w:adjustRightInd w:val="0"/>
        <w:rPr>
          <w:rFonts w:ascii="Century Gothic" w:hAnsi="Century Gothic" w:cs="Trebuchet MS"/>
          <w:color w:val="434343"/>
          <w:lang w:val="en-US"/>
        </w:rPr>
      </w:pPr>
    </w:p>
    <w:p w:rsidR="00010D43" w:rsidRPr="00010D43" w:rsidRDefault="00010D43" w:rsidP="00010D43">
      <w:pPr>
        <w:widowControl w:val="0"/>
        <w:autoSpaceDE w:val="0"/>
        <w:autoSpaceDN w:val="0"/>
        <w:adjustRightInd w:val="0"/>
        <w:rPr>
          <w:rFonts w:ascii="Century Gothic" w:hAnsi="Century Gothic" w:cs="Trebuchet MS"/>
          <w:color w:val="434343"/>
          <w:lang w:val="en-US"/>
        </w:rPr>
      </w:pPr>
      <w:r w:rsidRPr="00010D43">
        <w:rPr>
          <w:rFonts w:ascii="Century Gothic" w:hAnsi="Century Gothic" w:cs="Trebuchet MS"/>
          <w:color w:val="434343"/>
          <w:lang w:val="en-US"/>
        </w:rPr>
        <w:t xml:space="preserve">a. Diagnose (Culture Cycle tools) </w:t>
      </w:r>
    </w:p>
    <w:p w:rsidR="00010D43" w:rsidRPr="00010D43" w:rsidRDefault="00010D43" w:rsidP="00010D43">
      <w:pPr>
        <w:widowControl w:val="0"/>
        <w:autoSpaceDE w:val="0"/>
        <w:autoSpaceDN w:val="0"/>
        <w:adjustRightInd w:val="0"/>
        <w:rPr>
          <w:rFonts w:ascii="Century Gothic" w:hAnsi="Century Gothic" w:cs="Trebuchet MS"/>
          <w:color w:val="434343"/>
          <w:lang w:val="en-US"/>
        </w:rPr>
      </w:pPr>
      <w:r w:rsidRPr="00010D43">
        <w:rPr>
          <w:rFonts w:ascii="Century Gothic" w:hAnsi="Century Gothic" w:cs="Trebuchet MS"/>
          <w:color w:val="434343"/>
          <w:lang w:val="en-US"/>
        </w:rPr>
        <w:t>b. Design (Use of business challenge to effect change)</w:t>
      </w:r>
    </w:p>
    <w:p w:rsidR="00010D43" w:rsidRPr="00010D43" w:rsidRDefault="00010D43" w:rsidP="00010D43">
      <w:pPr>
        <w:widowControl w:val="0"/>
        <w:autoSpaceDE w:val="0"/>
        <w:autoSpaceDN w:val="0"/>
        <w:adjustRightInd w:val="0"/>
        <w:rPr>
          <w:rFonts w:ascii="Century Gothic" w:hAnsi="Century Gothic" w:cs="Trebuchet MS"/>
          <w:color w:val="434343"/>
          <w:lang w:val="en-US"/>
        </w:rPr>
      </w:pPr>
      <w:r w:rsidRPr="00010D43">
        <w:rPr>
          <w:rFonts w:ascii="Century Gothic" w:hAnsi="Century Gothic" w:cs="Trebuchet MS"/>
          <w:color w:val="434343"/>
          <w:lang w:val="en-US"/>
        </w:rPr>
        <w:t>c. Intervene (To identify root cause)</w:t>
      </w:r>
    </w:p>
    <w:p w:rsidR="00010D43" w:rsidRPr="00010D43" w:rsidRDefault="00010D43" w:rsidP="00010D43">
      <w:pPr>
        <w:widowControl w:val="0"/>
        <w:autoSpaceDE w:val="0"/>
        <w:autoSpaceDN w:val="0"/>
        <w:adjustRightInd w:val="0"/>
        <w:rPr>
          <w:rFonts w:ascii="Century Gothic" w:hAnsi="Century Gothic" w:cs="Trebuchet MS"/>
          <w:color w:val="434343"/>
          <w:lang w:val="en-US"/>
        </w:rPr>
      </w:pPr>
      <w:r w:rsidRPr="00010D43">
        <w:rPr>
          <w:rFonts w:ascii="Century Gothic" w:hAnsi="Century Gothic" w:cs="Trebuchet MS"/>
          <w:color w:val="434343"/>
          <w:lang w:val="en-US"/>
        </w:rPr>
        <w:t xml:space="preserve">d. Evaluate (Use of performance metrics and </w:t>
      </w:r>
      <w:proofErr w:type="spellStart"/>
      <w:r w:rsidRPr="00010D43">
        <w:rPr>
          <w:rFonts w:ascii="Century Gothic" w:hAnsi="Century Gothic" w:cs="Trebuchet MS"/>
          <w:color w:val="434343"/>
          <w:lang w:val="en-US"/>
        </w:rPr>
        <w:t>Hoshin</w:t>
      </w:r>
      <w:proofErr w:type="spellEnd"/>
      <w:r w:rsidRPr="00010D43">
        <w:rPr>
          <w:rFonts w:ascii="Century Gothic" w:hAnsi="Century Gothic" w:cs="Trebuchet MS"/>
          <w:color w:val="434343"/>
          <w:lang w:val="en-US"/>
        </w:rPr>
        <w:t xml:space="preserve"> </w:t>
      </w:r>
      <w:proofErr w:type="spellStart"/>
      <w:r w:rsidRPr="00010D43">
        <w:rPr>
          <w:rFonts w:ascii="Century Gothic" w:hAnsi="Century Gothic" w:cs="Trebuchet MS"/>
          <w:color w:val="434343"/>
          <w:lang w:val="en-US"/>
        </w:rPr>
        <w:t>Kanri</w:t>
      </w:r>
      <w:proofErr w:type="spellEnd"/>
      <w:r w:rsidRPr="00010D43">
        <w:rPr>
          <w:rFonts w:ascii="Century Gothic" w:hAnsi="Century Gothic" w:cs="Trebuchet MS"/>
          <w:color w:val="434343"/>
          <w:lang w:val="en-US"/>
        </w:rPr>
        <w:t>)</w:t>
      </w:r>
    </w:p>
    <w:p w:rsidR="00010D43" w:rsidRPr="00010D43" w:rsidRDefault="00010D43" w:rsidP="00010D43">
      <w:pPr>
        <w:widowControl w:val="0"/>
        <w:autoSpaceDE w:val="0"/>
        <w:autoSpaceDN w:val="0"/>
        <w:adjustRightInd w:val="0"/>
        <w:rPr>
          <w:rFonts w:ascii="Century Gothic" w:hAnsi="Century Gothic" w:cs="Trebuchet MS"/>
          <w:color w:val="434343"/>
          <w:lang w:val="en-US"/>
        </w:rPr>
      </w:pPr>
      <w:r w:rsidRPr="00010D43">
        <w:rPr>
          <w:rFonts w:ascii="Century Gothic" w:hAnsi="Century Gothic" w:cs="Trebuchet MS"/>
          <w:color w:val="434343"/>
          <w:lang w:val="en-US"/>
        </w:rPr>
        <w:t xml:space="preserve">Our interventions have been designed to change the way we work together through the way we work together. Implementation, whether it </w:t>
      </w:r>
      <w:proofErr w:type="gramStart"/>
      <w:r w:rsidRPr="00010D43">
        <w:rPr>
          <w:rFonts w:ascii="Century Gothic" w:hAnsi="Century Gothic" w:cs="Trebuchet MS"/>
          <w:color w:val="434343"/>
          <w:lang w:val="en-US"/>
        </w:rPr>
        <w:t>be</w:t>
      </w:r>
      <w:proofErr w:type="gramEnd"/>
      <w:r w:rsidRPr="00010D43">
        <w:rPr>
          <w:rFonts w:ascii="Century Gothic" w:hAnsi="Century Gothic" w:cs="Trebuchet MS"/>
          <w:color w:val="434343"/>
          <w:lang w:val="en-US"/>
        </w:rPr>
        <w:t xml:space="preserve"> of strategic enterprise wide change, or a specific project (or its recovery), must create sustainable change for the deliverable to justify the financial case that </w:t>
      </w:r>
      <w:proofErr w:type="spellStart"/>
      <w:r w:rsidRPr="00010D43">
        <w:rPr>
          <w:rFonts w:ascii="Century Gothic" w:hAnsi="Century Gothic" w:cs="Trebuchet MS"/>
          <w:color w:val="434343"/>
          <w:lang w:val="en-US"/>
        </w:rPr>
        <w:t>authorised</w:t>
      </w:r>
      <w:proofErr w:type="spellEnd"/>
      <w:r w:rsidRPr="00010D43">
        <w:rPr>
          <w:rFonts w:ascii="Century Gothic" w:hAnsi="Century Gothic" w:cs="Trebuchet MS"/>
          <w:color w:val="434343"/>
          <w:lang w:val="en-US"/>
        </w:rPr>
        <w:t xml:space="preserve"> it. Our interventions are designed to </w:t>
      </w:r>
      <w:proofErr w:type="spellStart"/>
      <w:r w:rsidRPr="00010D43">
        <w:rPr>
          <w:rFonts w:ascii="Century Gothic" w:hAnsi="Century Gothic" w:cs="Trebuchet MS"/>
          <w:color w:val="434343"/>
          <w:lang w:val="en-US"/>
        </w:rPr>
        <w:t>optimise</w:t>
      </w:r>
      <w:proofErr w:type="spellEnd"/>
      <w:r w:rsidRPr="00010D43">
        <w:rPr>
          <w:rFonts w:ascii="Century Gothic" w:hAnsi="Century Gothic" w:cs="Trebuchet MS"/>
          <w:color w:val="434343"/>
          <w:lang w:val="en-US"/>
        </w:rPr>
        <w:t xml:space="preserve"> results using, professional input, managerial action and ‘Culture Cycle" evolution.</w:t>
      </w:r>
    </w:p>
    <w:p w:rsidR="00010D43" w:rsidRPr="00010D43" w:rsidRDefault="00010D43" w:rsidP="00010D43">
      <w:pPr>
        <w:widowControl w:val="0"/>
        <w:autoSpaceDE w:val="0"/>
        <w:autoSpaceDN w:val="0"/>
        <w:adjustRightInd w:val="0"/>
        <w:rPr>
          <w:rFonts w:ascii="Century Gothic" w:hAnsi="Century Gothic" w:cs="Trebuchet MS"/>
          <w:b/>
          <w:bCs/>
          <w:color w:val="434343"/>
          <w:lang w:val="en-US"/>
        </w:rPr>
      </w:pPr>
      <w:r w:rsidRPr="00010D43">
        <w:rPr>
          <w:rFonts w:ascii="Century Gothic" w:hAnsi="Century Gothic" w:cs="Trebuchet MS"/>
          <w:b/>
          <w:bCs/>
          <w:color w:val="434343"/>
          <w:lang w:val="en-US"/>
        </w:rPr>
        <w:t>(Mike Vernon)</w:t>
      </w:r>
    </w:p>
    <w:p w:rsidR="00010D43" w:rsidRPr="00010D43" w:rsidRDefault="00010D43" w:rsidP="00010D43">
      <w:pPr>
        <w:widowControl w:val="0"/>
        <w:autoSpaceDE w:val="0"/>
        <w:autoSpaceDN w:val="0"/>
        <w:adjustRightInd w:val="0"/>
        <w:rPr>
          <w:rFonts w:ascii="Century Gothic" w:hAnsi="Century Gothic" w:cs="Trebuchet MS"/>
          <w:color w:val="434343"/>
          <w:lang w:val="en-US"/>
        </w:rPr>
      </w:pPr>
    </w:p>
    <w:p w:rsidR="00010D43" w:rsidRPr="00010D43" w:rsidRDefault="00010D43" w:rsidP="00010D43">
      <w:pPr>
        <w:widowControl w:val="0"/>
        <w:autoSpaceDE w:val="0"/>
        <w:autoSpaceDN w:val="0"/>
        <w:adjustRightInd w:val="0"/>
        <w:rPr>
          <w:rFonts w:ascii="Century Gothic" w:hAnsi="Century Gothic" w:cs="Trebuchet MS"/>
          <w:b/>
          <w:bCs/>
          <w:color w:val="E36C0A" w:themeColor="accent6" w:themeShade="BF"/>
          <w:sz w:val="36"/>
          <w:szCs w:val="42"/>
          <w:lang w:val="en-US"/>
        </w:rPr>
      </w:pPr>
      <w:r w:rsidRPr="00010D43">
        <w:rPr>
          <w:rFonts w:ascii="Century Gothic" w:hAnsi="Century Gothic" w:cs="Trebuchet MS"/>
          <w:b/>
          <w:bCs/>
          <w:color w:val="E36C0A" w:themeColor="accent6" w:themeShade="BF"/>
          <w:sz w:val="36"/>
          <w:szCs w:val="42"/>
          <w:lang w:val="en-US"/>
        </w:rPr>
        <w:t>Research Shows</w:t>
      </w:r>
    </w:p>
    <w:p w:rsidR="00010D43" w:rsidRPr="00010D43" w:rsidRDefault="00010D43" w:rsidP="00010D43">
      <w:pPr>
        <w:widowControl w:val="0"/>
        <w:autoSpaceDE w:val="0"/>
        <w:autoSpaceDN w:val="0"/>
        <w:adjustRightInd w:val="0"/>
        <w:rPr>
          <w:rFonts w:ascii="Century Gothic" w:hAnsi="Century Gothic" w:cs="Trebuchet MS"/>
          <w:color w:val="434343"/>
          <w:lang w:val="en-US"/>
        </w:rPr>
      </w:pPr>
      <w:r w:rsidRPr="00010D43">
        <w:rPr>
          <w:rFonts w:ascii="Century Gothic" w:hAnsi="Century Gothic" w:cs="Trebuchet MS"/>
          <w:color w:val="434343"/>
          <w:lang w:val="en-US"/>
        </w:rPr>
        <w:t xml:space="preserve">Companies rated by their employees as being in the top quartile in openness of communication delivered an average total shareholder </w:t>
      </w:r>
      <w:proofErr w:type="gramStart"/>
      <w:r w:rsidRPr="00010D43">
        <w:rPr>
          <w:rFonts w:ascii="Century Gothic" w:hAnsi="Century Gothic" w:cs="Trebuchet MS"/>
          <w:color w:val="434343"/>
          <w:lang w:val="en-US"/>
        </w:rPr>
        <w:t>return</w:t>
      </w:r>
      <w:proofErr w:type="gramEnd"/>
      <w:r w:rsidRPr="00010D43">
        <w:rPr>
          <w:rFonts w:ascii="Century Gothic" w:hAnsi="Century Gothic" w:cs="Trebuchet MS"/>
          <w:color w:val="434343"/>
          <w:lang w:val="en-US"/>
        </w:rPr>
        <w:t xml:space="preserve"> of 7.9% over a recent 10-year period, compared with 2.1% at companies in other quartiles, according to the Corporate Executive Board. Among 7 key indicators that the organization tracks in more than 130 companies worldwide, the one most strongly correlated with 10-year returns is employees' comfort in speaking up, even when they have negative things to say.</w:t>
      </w:r>
    </w:p>
    <w:p w:rsidR="004B48E4" w:rsidRPr="00010D43" w:rsidRDefault="00010D43" w:rsidP="00010D43">
      <w:pPr>
        <w:rPr>
          <w:rFonts w:ascii="Century Gothic" w:hAnsi="Century Gothic"/>
        </w:rPr>
      </w:pPr>
      <w:r w:rsidRPr="00010D43">
        <w:rPr>
          <w:rFonts w:ascii="Century Gothic" w:hAnsi="Century Gothic" w:cs="Trebuchet MS"/>
          <w:b/>
          <w:bCs/>
          <w:color w:val="434343"/>
          <w:lang w:val="en-US"/>
        </w:rPr>
        <w:t>(Harvard Business Review)</w:t>
      </w:r>
    </w:p>
    <w:sectPr w:rsidR="004B48E4" w:rsidRPr="00010D43" w:rsidSect="00010D43">
      <w:headerReference w:type="default" r:id="rId4"/>
      <w:pgSz w:w="11900" w:h="16840"/>
      <w:pgMar w:top="1440" w:right="1134" w:bottom="1440"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D43" w:rsidRPr="00010D43" w:rsidRDefault="00010D43" w:rsidP="00010D43">
    <w:pPr>
      <w:pStyle w:val="Header"/>
      <w:jc w:val="right"/>
      <w:rPr>
        <w:rFonts w:ascii="Century Gothic" w:hAnsi="Century Gothic"/>
      </w:rPr>
    </w:pPr>
    <w:r w:rsidRPr="00010D43">
      <w:drawing>
        <wp:anchor distT="0" distB="0" distL="114300" distR="114300" simplePos="0" relativeHeight="251658240" behindDoc="0" locked="0" layoutInCell="1" allowOverlap="1">
          <wp:simplePos x="0" y="0"/>
          <wp:positionH relativeFrom="column">
            <wp:posOffset>-466090</wp:posOffset>
          </wp:positionH>
          <wp:positionV relativeFrom="paragraph">
            <wp:posOffset>-220980</wp:posOffset>
          </wp:positionV>
          <wp:extent cx="2070100" cy="1143000"/>
          <wp:effectExtent l="0" t="0" r="0" b="0"/>
          <wp:wrapTight wrapText="bothSides">
            <wp:wrapPolygon edited="0">
              <wp:start x="9541" y="0"/>
              <wp:lineTo x="5831" y="7680"/>
              <wp:lineTo x="0" y="17280"/>
              <wp:lineTo x="0" y="20160"/>
              <wp:lineTo x="10071" y="20640"/>
              <wp:lineTo x="17227" y="20640"/>
              <wp:lineTo x="20672" y="19680"/>
              <wp:lineTo x="19877" y="16800"/>
              <wp:lineTo x="10866" y="15360"/>
              <wp:lineTo x="14577" y="7680"/>
              <wp:lineTo x="10601" y="0"/>
              <wp:lineTo x="9541" y="0"/>
            </wp:wrapPolygon>
          </wp:wrapTight>
          <wp:docPr id="4" name="Picture 0" descr="c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logo-2.png"/>
                  <pic:cNvPicPr/>
                </pic:nvPicPr>
                <pic:blipFill>
                  <a:blip r:embed="rId1"/>
                  <a:stretch>
                    <a:fillRect/>
                  </a:stretch>
                </pic:blipFill>
                <pic:spPr>
                  <a:xfrm>
                    <a:off x="0" y="0"/>
                    <a:ext cx="2070100" cy="1143000"/>
                  </a:xfrm>
                  <a:prstGeom prst="rect">
                    <a:avLst/>
                  </a:prstGeom>
                </pic:spPr>
              </pic:pic>
            </a:graphicData>
          </a:graphic>
        </wp:anchor>
      </w:drawing>
    </w:r>
    <w:r>
      <w:tab/>
    </w:r>
    <w:r w:rsidRPr="00010D43">
      <w:rPr>
        <w:rFonts w:ascii="Century Gothic" w:hAnsi="Century Gothic"/>
      </w:rPr>
      <w:t>01342 870082</w:t>
    </w:r>
  </w:p>
  <w:p w:rsidR="00010D43" w:rsidRPr="00010D43" w:rsidRDefault="00010D43" w:rsidP="00010D43">
    <w:pPr>
      <w:pStyle w:val="Header"/>
      <w:jc w:val="right"/>
      <w:rPr>
        <w:rFonts w:ascii="Century Gothic" w:hAnsi="Century Gothic"/>
      </w:rPr>
    </w:pPr>
    <w:r w:rsidRPr="00010D43">
      <w:rPr>
        <w:rFonts w:ascii="Century Gothic" w:hAnsi="Century Gothic"/>
      </w:rPr>
      <w:tab/>
      <w:t>info@consultingpeople.com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010D43"/>
    <w:rsid w:val="00010D43"/>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E4"/>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10D43"/>
    <w:pPr>
      <w:tabs>
        <w:tab w:val="center" w:pos="4320"/>
        <w:tab w:val="right" w:pos="8640"/>
      </w:tabs>
    </w:pPr>
  </w:style>
  <w:style w:type="character" w:customStyle="1" w:styleId="HeaderChar">
    <w:name w:val="Header Char"/>
    <w:basedOn w:val="DefaultParagraphFont"/>
    <w:link w:val="Header"/>
    <w:uiPriority w:val="99"/>
    <w:semiHidden/>
    <w:rsid w:val="00010D43"/>
    <w:rPr>
      <w:lang w:val="en-GB"/>
    </w:rPr>
  </w:style>
  <w:style w:type="paragraph" w:styleId="Footer">
    <w:name w:val="footer"/>
    <w:basedOn w:val="Normal"/>
    <w:link w:val="FooterChar"/>
    <w:uiPriority w:val="99"/>
    <w:semiHidden/>
    <w:unhideWhenUsed/>
    <w:rsid w:val="00010D43"/>
    <w:pPr>
      <w:tabs>
        <w:tab w:val="center" w:pos="4320"/>
        <w:tab w:val="right" w:pos="8640"/>
      </w:tabs>
    </w:pPr>
  </w:style>
  <w:style w:type="character" w:customStyle="1" w:styleId="FooterChar">
    <w:name w:val="Footer Char"/>
    <w:basedOn w:val="DefaultParagraphFont"/>
    <w:link w:val="Footer"/>
    <w:uiPriority w:val="99"/>
    <w:semiHidden/>
    <w:rsid w:val="00010D43"/>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Company>Consulting People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Vernon-Avery</dc:creator>
  <cp:keywords/>
  <cp:lastModifiedBy>Isobel Vernon-Avery</cp:lastModifiedBy>
  <cp:revision>1</cp:revision>
  <dcterms:created xsi:type="dcterms:W3CDTF">2015-02-06T12:25:00Z</dcterms:created>
  <dcterms:modified xsi:type="dcterms:W3CDTF">2015-02-06T12:31:00Z</dcterms:modified>
</cp:coreProperties>
</file>